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tabs>
          <w:tab w:val="right" w:leader="dot" w:pos="14562"/>
        </w:tabs>
        <w:spacing w:line="400" w:lineRule="exact"/>
        <w:rPr>
          <w:rFonts w:eastAsiaTheme="minorEastAsia"/>
          <w:b/>
          <w:bCs/>
          <w:caps/>
        </w:rPr>
      </w:pPr>
      <w:r>
        <w:rPr>
          <w:rFonts w:hint="eastAsia"/>
        </w:rPr>
        <w:t>单位预算收支总表</w:t>
      </w:r>
      <w:r>
        <w:tab/>
      </w:r>
      <w:r>
        <w:rPr>
          <w:rFonts w:hint="eastAsia" w:eastAsiaTheme="minorEastAsia"/>
        </w:rPr>
        <w:t>3</w:t>
      </w:r>
    </w:p>
    <w:p>
      <w:pPr>
        <w:pStyle w:val="8"/>
        <w:tabs>
          <w:tab w:val="right" w:leader="dot" w:pos="14562"/>
        </w:tabs>
        <w:spacing w:line="400" w:lineRule="exact"/>
        <w:rPr>
          <w:rFonts w:eastAsiaTheme="minorEastAsia"/>
          <w:b/>
          <w:bCs/>
          <w:caps/>
        </w:rPr>
      </w:pPr>
      <w:r>
        <w:rPr>
          <w:rFonts w:hint="eastAsia"/>
        </w:rPr>
        <w:t>单位预算收入总表</w:t>
      </w:r>
      <w:r>
        <w:tab/>
      </w:r>
      <w:r>
        <w:rPr>
          <w:rFonts w:hint="eastAsia" w:eastAsiaTheme="minorEastAsia"/>
          <w:lang w:eastAsia="zh-CN"/>
        </w:rPr>
        <w:t>4</w:t>
      </w:r>
    </w:p>
    <w:p>
      <w:pPr>
        <w:pStyle w:val="8"/>
        <w:tabs>
          <w:tab w:val="right" w:leader="dot" w:pos="14562"/>
        </w:tabs>
        <w:spacing w:line="400" w:lineRule="exact"/>
        <w:rPr>
          <w:b/>
          <w:bCs/>
          <w:caps/>
        </w:rPr>
      </w:pPr>
      <w:r>
        <w:rPr>
          <w:rFonts w:hint="eastAsia"/>
        </w:rPr>
        <w:t>单位预算支出总表</w:t>
      </w:r>
      <w:r>
        <w:tab/>
      </w:r>
      <w:r>
        <w:t>6</w:t>
      </w:r>
    </w:p>
    <w:p>
      <w:pPr>
        <w:pStyle w:val="8"/>
        <w:tabs>
          <w:tab w:val="right" w:leader="dot" w:pos="14562"/>
        </w:tabs>
        <w:spacing w:line="400" w:lineRule="exact"/>
        <w:rPr>
          <w:rFonts w:eastAsiaTheme="minorEastAsia"/>
          <w:b/>
          <w:bCs/>
          <w:caps/>
        </w:rPr>
      </w:pPr>
      <w:r>
        <w:rPr>
          <w:rFonts w:hint="eastAsia"/>
        </w:rPr>
        <w:t>单位预算财政拨款收支总表</w:t>
      </w:r>
      <w:r>
        <w:tab/>
      </w:r>
      <w:r>
        <w:rPr>
          <w:rFonts w:hint="eastAsia" w:eastAsiaTheme="minorEastAsia"/>
        </w:rPr>
        <w:t>7</w:t>
      </w:r>
    </w:p>
    <w:p>
      <w:pPr>
        <w:pStyle w:val="8"/>
        <w:tabs>
          <w:tab w:val="right" w:leader="dot" w:pos="14562"/>
        </w:tabs>
        <w:spacing w:line="400" w:lineRule="exact"/>
        <w:rPr>
          <w:rFonts w:eastAsiaTheme="minorEastAsia"/>
          <w:b/>
          <w:bCs/>
          <w:caps/>
        </w:rPr>
      </w:pPr>
      <w:r>
        <w:rPr>
          <w:rFonts w:hint="eastAsia"/>
        </w:rPr>
        <w:t>单位预算一般公共预算财政拨款支出表</w:t>
      </w:r>
      <w:r>
        <w:tab/>
      </w:r>
      <w:r>
        <w:rPr>
          <w:rFonts w:hint="eastAsia" w:eastAsiaTheme="minorEastAsia"/>
        </w:rPr>
        <w:t>9</w:t>
      </w:r>
    </w:p>
    <w:p>
      <w:pPr>
        <w:pStyle w:val="8"/>
        <w:tabs>
          <w:tab w:val="right" w:leader="dot" w:pos="14562"/>
        </w:tabs>
        <w:spacing w:line="400" w:lineRule="exact"/>
        <w:rPr>
          <w:rFonts w:eastAsiaTheme="minorEastAsia"/>
          <w:b/>
          <w:bCs/>
          <w:caps/>
        </w:rPr>
      </w:pPr>
      <w:r>
        <w:rPr>
          <w:rFonts w:hint="eastAsia"/>
        </w:rPr>
        <w:t>单位预算一般公共预算财政拨款基本支出表</w:t>
      </w:r>
      <w:r>
        <w:tab/>
      </w:r>
      <w:r>
        <w:rPr>
          <w:rFonts w:hint="eastAsia" w:eastAsiaTheme="minorEastAsia"/>
        </w:rPr>
        <w:t>10</w:t>
      </w:r>
    </w:p>
    <w:p>
      <w:pPr>
        <w:pStyle w:val="8"/>
        <w:tabs>
          <w:tab w:val="right" w:leader="dot" w:pos="14562"/>
        </w:tabs>
        <w:spacing w:line="400" w:lineRule="exact"/>
        <w:rPr>
          <w:rFonts w:eastAsiaTheme="minorEastAsia"/>
          <w:b/>
          <w:bCs/>
          <w:caps/>
        </w:rPr>
      </w:pPr>
      <w:r>
        <w:rPr>
          <w:rFonts w:hint="eastAsia"/>
        </w:rPr>
        <w:t>单位预算政府基金预算财政拨款支出表</w:t>
      </w:r>
      <w:r>
        <w:tab/>
      </w:r>
      <w:r>
        <w:rPr>
          <w:rFonts w:hint="eastAsia" w:eastAsiaTheme="minorEastAsia"/>
        </w:rPr>
        <w:t>12</w:t>
      </w:r>
    </w:p>
    <w:p>
      <w:pPr>
        <w:pStyle w:val="8"/>
        <w:tabs>
          <w:tab w:val="right" w:leader="dot" w:pos="14562"/>
        </w:tabs>
        <w:spacing w:line="400" w:lineRule="exact"/>
        <w:rPr>
          <w:rFonts w:eastAsiaTheme="minorEastAsia"/>
          <w:b/>
          <w:bCs/>
          <w:caps/>
        </w:rPr>
      </w:pPr>
      <w:r>
        <w:rPr>
          <w:rFonts w:hint="eastAsia"/>
        </w:rPr>
        <w:t>单位预算国有资本经营预算财政拨款支出表</w:t>
      </w:r>
      <w:r>
        <w:tab/>
      </w:r>
      <w:r>
        <w:rPr>
          <w:rFonts w:hint="eastAsia" w:eastAsiaTheme="minorEastAsia"/>
        </w:rPr>
        <w:t>13</w:t>
      </w:r>
    </w:p>
    <w:p>
      <w:pPr>
        <w:pStyle w:val="8"/>
        <w:tabs>
          <w:tab w:val="right" w:leader="dot" w:pos="14562"/>
        </w:tabs>
        <w:spacing w:line="400" w:lineRule="exact"/>
        <w:rPr>
          <w:rFonts w:eastAsiaTheme="minorEastAsia"/>
          <w:b/>
          <w:bCs/>
          <w:caps/>
        </w:rPr>
      </w:pPr>
      <w:r>
        <w:rPr>
          <w:rFonts w:hint="eastAsia"/>
        </w:rPr>
        <w:t>单位预算财政拨款“三公”经费支出表</w:t>
      </w:r>
      <w:r>
        <w:tab/>
      </w:r>
      <w:r>
        <w:rPr>
          <w:rFonts w:hint="eastAsia" w:eastAsiaTheme="minorEastAsia"/>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tabs>
          <w:tab w:val="right" w:leader="dot" w:pos="14562"/>
        </w:tabs>
        <w:spacing w:line="400" w:lineRule="exact"/>
        <w:rPr>
          <w:rFonts w:eastAsiaTheme="minorEastAsia"/>
          <w:b/>
          <w:bCs/>
          <w:caps/>
        </w:rPr>
      </w:pPr>
      <w:r>
        <w:rPr>
          <w:rFonts w:hint="eastAsia"/>
        </w:rPr>
        <w:t>一、单位职责及机构设置情况</w:t>
      </w:r>
      <w:r>
        <w:tab/>
      </w:r>
      <w:r>
        <w:rPr>
          <w:rFonts w:hint="eastAsia" w:eastAsiaTheme="minorEastAsia"/>
        </w:rPr>
        <w:t>15</w:t>
      </w:r>
    </w:p>
    <w:p>
      <w:pPr>
        <w:pStyle w:val="8"/>
        <w:tabs>
          <w:tab w:val="right" w:leader="dot" w:pos="14562"/>
        </w:tabs>
        <w:spacing w:line="400" w:lineRule="exact"/>
        <w:rPr>
          <w:rFonts w:eastAsiaTheme="minorEastAsia"/>
          <w:b/>
          <w:bCs/>
          <w:caps/>
        </w:rPr>
      </w:pPr>
      <w:r>
        <w:rPr>
          <w:rFonts w:hint="eastAsia"/>
        </w:rPr>
        <w:t>二、单位预算安排的总体情况</w:t>
      </w:r>
      <w:r>
        <w:tab/>
      </w:r>
      <w:r>
        <w:rPr>
          <w:rFonts w:hint="eastAsia" w:eastAsiaTheme="minorEastAsia"/>
        </w:rPr>
        <w:t>15</w:t>
      </w:r>
    </w:p>
    <w:p>
      <w:pPr>
        <w:pStyle w:val="8"/>
        <w:tabs>
          <w:tab w:val="right" w:leader="dot" w:pos="14562"/>
        </w:tabs>
        <w:spacing w:line="400" w:lineRule="exact"/>
        <w:rPr>
          <w:rFonts w:eastAsiaTheme="minorEastAsia"/>
          <w:b/>
          <w:bCs/>
          <w:caps/>
        </w:rPr>
      </w:pPr>
      <w:r>
        <w:rPr>
          <w:rFonts w:hint="eastAsia"/>
        </w:rPr>
        <w:t>三、机关运行经费安排情况</w:t>
      </w:r>
      <w:r>
        <w:tab/>
      </w:r>
      <w:r>
        <w:rPr>
          <w:rFonts w:hint="eastAsia" w:eastAsiaTheme="minorEastAsia"/>
        </w:rPr>
        <w:t>16</w:t>
      </w:r>
    </w:p>
    <w:p>
      <w:pPr>
        <w:pStyle w:val="8"/>
        <w:tabs>
          <w:tab w:val="right" w:leader="dot" w:pos="14562"/>
        </w:tabs>
        <w:spacing w:line="400" w:lineRule="exact"/>
        <w:rPr>
          <w:rFonts w:eastAsiaTheme="minorEastAsia"/>
          <w:b/>
          <w:bCs/>
          <w:caps/>
        </w:rPr>
      </w:pPr>
      <w:r>
        <w:rPr>
          <w:rFonts w:hint="eastAsia"/>
        </w:rPr>
        <w:t>四、财政拨款“三公”经费预算情况及增减变化原因</w:t>
      </w:r>
      <w:r>
        <w:tab/>
      </w:r>
      <w:r>
        <w:rPr>
          <w:rFonts w:hint="eastAsia" w:eastAsiaTheme="minorEastAsia"/>
        </w:rPr>
        <w:t>16</w:t>
      </w:r>
    </w:p>
    <w:p>
      <w:pPr>
        <w:pStyle w:val="8"/>
        <w:tabs>
          <w:tab w:val="right" w:leader="dot" w:pos="14562"/>
        </w:tabs>
        <w:spacing w:line="400" w:lineRule="exact"/>
        <w:rPr>
          <w:rFonts w:eastAsiaTheme="minorEastAsia"/>
          <w:b/>
          <w:bCs/>
          <w:caps/>
        </w:rPr>
      </w:pPr>
      <w:r>
        <w:rPr>
          <w:rFonts w:hint="eastAsia"/>
        </w:rPr>
        <w:t>五、预算绩效信息</w:t>
      </w:r>
      <w:r>
        <w:tab/>
      </w:r>
      <w:r>
        <w:rPr>
          <w:rFonts w:hint="eastAsia" w:eastAsiaTheme="minorEastAsia"/>
        </w:rPr>
        <w:t>16</w:t>
      </w:r>
    </w:p>
    <w:p>
      <w:pPr>
        <w:pStyle w:val="8"/>
        <w:tabs>
          <w:tab w:val="right" w:leader="dot" w:pos="14562"/>
        </w:tabs>
        <w:spacing w:line="400" w:lineRule="exact"/>
        <w:rPr>
          <w:rFonts w:eastAsiaTheme="minorEastAsia"/>
          <w:b/>
          <w:bCs/>
          <w:caps/>
        </w:rPr>
      </w:pPr>
      <w:r>
        <w:rPr>
          <w:rFonts w:hint="eastAsia"/>
        </w:rPr>
        <w:t>六、政府采购预算情况</w:t>
      </w:r>
      <w:r>
        <w:tab/>
      </w:r>
      <w:r>
        <w:rPr>
          <w:rFonts w:hint="eastAsia" w:eastAsiaTheme="minorEastAsia"/>
        </w:rPr>
        <w:t>21</w:t>
      </w:r>
    </w:p>
    <w:p>
      <w:pPr>
        <w:pStyle w:val="8"/>
        <w:tabs>
          <w:tab w:val="right" w:leader="dot" w:pos="14562"/>
        </w:tabs>
        <w:spacing w:line="400" w:lineRule="exact"/>
        <w:rPr>
          <w:rFonts w:eastAsiaTheme="minorEastAsia"/>
          <w:b/>
          <w:bCs/>
          <w:caps/>
        </w:rPr>
      </w:pPr>
      <w:r>
        <w:rPr>
          <w:rFonts w:hint="eastAsia"/>
        </w:rPr>
        <w:t>七、国有资产信息</w:t>
      </w:r>
      <w:r>
        <w:tab/>
      </w:r>
      <w:r>
        <w:rPr>
          <w:rFonts w:hint="eastAsia" w:eastAsiaTheme="minorEastAsia"/>
        </w:rPr>
        <w:t>21</w:t>
      </w:r>
    </w:p>
    <w:p>
      <w:pPr>
        <w:pStyle w:val="8"/>
        <w:tabs>
          <w:tab w:val="right" w:leader="dot" w:pos="14562"/>
        </w:tabs>
        <w:spacing w:line="400" w:lineRule="exact"/>
        <w:rPr>
          <w:rFonts w:eastAsiaTheme="minorEastAsia"/>
          <w:b/>
          <w:bCs/>
          <w:caps/>
        </w:rPr>
      </w:pPr>
      <w:r>
        <w:rPr>
          <w:rFonts w:hint="eastAsia"/>
        </w:rPr>
        <w:t>八、名词解释</w:t>
      </w:r>
      <w:r>
        <w:tab/>
      </w:r>
      <w:r>
        <w:rPr>
          <w:rFonts w:hint="eastAsia" w:eastAsiaTheme="minorEastAsia"/>
          <w:lang w:eastAsia="zh-CN"/>
        </w:rPr>
        <w:t>22</w:t>
      </w:r>
    </w:p>
    <w:p>
      <w:pPr>
        <w:pStyle w:val="8"/>
        <w:tabs>
          <w:tab w:val="right" w:leader="dot" w:pos="14562"/>
        </w:tabs>
        <w:spacing w:line="400" w:lineRule="exact"/>
        <w:rPr>
          <w:rFonts w:eastAsiaTheme="minorEastAsia"/>
          <w:b/>
          <w:bCs/>
          <w:caps/>
        </w:rPr>
      </w:pPr>
      <w:r>
        <w:rPr>
          <w:rFonts w:hint="eastAsia"/>
        </w:rPr>
        <w:t>九、其他需要说明的事项</w:t>
      </w:r>
      <w:r>
        <w:tab/>
      </w:r>
      <w:r>
        <w:rPr>
          <w:rFonts w:hint="eastAsia" w:eastAsiaTheme="minorEastAsia"/>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widowControl/>
        <w:jc w:val="left"/>
      </w:pPr>
      <w:r>
        <w:rPr>
          <w:rFonts w:ascii="方正小标宋_GBK" w:hAnsi="方正小标宋_GBK" w:eastAsia="方正小标宋_GBK" w:cs="方正小标宋_GBK"/>
          <w:color w:val="000000"/>
          <w:sz w:val="44"/>
        </w:rPr>
        <w:t>七十七、霸州市胜芳镇新华小学收支预算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501590霸州市胜芳镇新华小学</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235.49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235.49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4"/>
            </w:pPr>
            <w:r>
              <w:t>本年收入合计</w:t>
            </w:r>
          </w:p>
        </w:tc>
        <w:tc>
          <w:tcPr>
            <w:tcW w:w="2126" w:type="dxa"/>
            <w:vAlign w:val="center"/>
          </w:tcPr>
          <w:p>
            <w:pPr>
              <w:pStyle w:val="25"/>
            </w:pPr>
            <w:r>
              <w:t>235.49</w:t>
            </w:r>
          </w:p>
        </w:tc>
        <w:tc>
          <w:tcPr>
            <w:tcW w:w="4535" w:type="dxa"/>
            <w:vAlign w:val="center"/>
          </w:tcPr>
          <w:p>
            <w:pPr>
              <w:pStyle w:val="24"/>
            </w:pPr>
            <w:r>
              <w:t>本年支出合计</w:t>
            </w:r>
          </w:p>
        </w:tc>
        <w:tc>
          <w:tcPr>
            <w:tcW w:w="2126" w:type="dxa"/>
            <w:vAlign w:val="center"/>
          </w:tcPr>
          <w:p>
            <w:pPr>
              <w:pStyle w:val="25"/>
            </w:pPr>
            <w:r>
              <w:t>235.49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4"/>
            </w:pPr>
            <w:r>
              <w:t>收入总计</w:t>
            </w:r>
          </w:p>
        </w:tc>
        <w:tc>
          <w:tcPr>
            <w:tcW w:w="2126" w:type="dxa"/>
            <w:vAlign w:val="center"/>
          </w:tcPr>
          <w:p>
            <w:pPr>
              <w:pStyle w:val="25"/>
            </w:pPr>
            <w:r>
              <w:t>235.49</w:t>
            </w:r>
          </w:p>
        </w:tc>
        <w:tc>
          <w:tcPr>
            <w:tcW w:w="4535" w:type="dxa"/>
            <w:vAlign w:val="center"/>
          </w:tcPr>
          <w:p>
            <w:pPr>
              <w:pStyle w:val="24"/>
            </w:pPr>
            <w:r>
              <w:t>支出总计</w:t>
            </w:r>
          </w:p>
        </w:tc>
        <w:tc>
          <w:tcPr>
            <w:tcW w:w="2126" w:type="dxa"/>
            <w:vAlign w:val="center"/>
          </w:tcPr>
          <w:p>
            <w:pPr>
              <w:pStyle w:val="25"/>
            </w:pPr>
            <w:r>
              <w:t>235.49</w:t>
            </w:r>
          </w:p>
        </w:tc>
      </w:tr>
    </w:tbl>
    <w:p>
      <w:pPr>
        <w:sectPr>
          <w:type w:val="continuous"/>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501590霸州市胜芳镇新华小学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235.49</w:t>
            </w:r>
          </w:p>
        </w:tc>
        <w:tc>
          <w:tcPr>
            <w:tcW w:w="1134" w:type="dxa"/>
            <w:vAlign w:val="center"/>
          </w:tcPr>
          <w:p>
            <w:pPr>
              <w:pStyle w:val="25"/>
            </w:pPr>
            <w:r>
              <w:t>235.49</w:t>
            </w:r>
          </w:p>
        </w:tc>
        <w:tc>
          <w:tcPr>
            <w:tcW w:w="1134" w:type="dxa"/>
            <w:vAlign w:val="center"/>
          </w:tcPr>
          <w:p>
            <w:pPr>
              <w:pStyle w:val="25"/>
            </w:pPr>
            <w:r>
              <w:t>235.49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235.49</w:t>
            </w:r>
          </w:p>
        </w:tc>
        <w:tc>
          <w:tcPr>
            <w:tcW w:w="1134" w:type="dxa"/>
            <w:vAlign w:val="center"/>
          </w:tcPr>
          <w:p>
            <w:pPr>
              <w:pStyle w:val="21"/>
            </w:pPr>
            <w:r>
              <w:t>235.49</w:t>
            </w:r>
          </w:p>
        </w:tc>
        <w:tc>
          <w:tcPr>
            <w:tcW w:w="1134" w:type="dxa"/>
            <w:vAlign w:val="center"/>
          </w:tcPr>
          <w:p>
            <w:pPr>
              <w:pStyle w:val="21"/>
            </w:pPr>
            <w:r>
              <w:t>235.49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235.49</w:t>
            </w:r>
          </w:p>
        </w:tc>
        <w:tc>
          <w:tcPr>
            <w:tcW w:w="1134" w:type="dxa"/>
            <w:vAlign w:val="center"/>
          </w:tcPr>
          <w:p>
            <w:pPr>
              <w:pStyle w:val="21"/>
            </w:pPr>
            <w:r>
              <w:t>235.49</w:t>
            </w:r>
          </w:p>
        </w:tc>
        <w:tc>
          <w:tcPr>
            <w:tcW w:w="1134" w:type="dxa"/>
            <w:vAlign w:val="center"/>
          </w:tcPr>
          <w:p>
            <w:pPr>
              <w:pStyle w:val="21"/>
            </w:pPr>
            <w:r>
              <w:t>235.49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5.24</w:t>
            </w:r>
          </w:p>
        </w:tc>
        <w:tc>
          <w:tcPr>
            <w:tcW w:w="1134" w:type="dxa"/>
            <w:vAlign w:val="center"/>
          </w:tcPr>
          <w:p>
            <w:pPr>
              <w:pStyle w:val="21"/>
            </w:pPr>
            <w:r>
              <w:t>5.24</w:t>
            </w:r>
          </w:p>
        </w:tc>
        <w:tc>
          <w:tcPr>
            <w:tcW w:w="1134" w:type="dxa"/>
            <w:vAlign w:val="center"/>
          </w:tcPr>
          <w:p>
            <w:pPr>
              <w:pStyle w:val="21"/>
            </w:pPr>
            <w:r>
              <w:t>5.24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230.25</w:t>
            </w:r>
          </w:p>
        </w:tc>
        <w:tc>
          <w:tcPr>
            <w:tcW w:w="1134" w:type="dxa"/>
            <w:vAlign w:val="center"/>
          </w:tcPr>
          <w:p>
            <w:pPr>
              <w:pStyle w:val="21"/>
            </w:pPr>
            <w:r>
              <w:t>230.25</w:t>
            </w:r>
          </w:p>
        </w:tc>
        <w:tc>
          <w:tcPr>
            <w:tcW w:w="1134" w:type="dxa"/>
            <w:vAlign w:val="center"/>
          </w:tcPr>
          <w:p>
            <w:pPr>
              <w:pStyle w:val="21"/>
            </w:pPr>
            <w:r>
              <w:t>230.25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235.49</w:t>
            </w:r>
          </w:p>
        </w:tc>
        <w:tc>
          <w:tcPr>
            <w:tcW w:w="1361" w:type="dxa"/>
            <w:vAlign w:val="center"/>
          </w:tcPr>
          <w:p>
            <w:pPr>
              <w:pStyle w:val="25"/>
            </w:pPr>
            <w:r>
              <w:t>218.96</w:t>
            </w:r>
          </w:p>
        </w:tc>
        <w:tc>
          <w:tcPr>
            <w:tcW w:w="1361" w:type="dxa"/>
            <w:vAlign w:val="center"/>
          </w:tcPr>
          <w:p>
            <w:pPr>
              <w:pStyle w:val="25"/>
            </w:pPr>
            <w:r>
              <w:t>16.53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235.49</w:t>
            </w:r>
          </w:p>
        </w:tc>
        <w:tc>
          <w:tcPr>
            <w:tcW w:w="1361" w:type="dxa"/>
            <w:vAlign w:val="center"/>
          </w:tcPr>
          <w:p>
            <w:pPr>
              <w:pStyle w:val="21"/>
            </w:pPr>
            <w:r>
              <w:t>218.96</w:t>
            </w:r>
          </w:p>
        </w:tc>
        <w:tc>
          <w:tcPr>
            <w:tcW w:w="1361" w:type="dxa"/>
            <w:vAlign w:val="center"/>
          </w:tcPr>
          <w:p>
            <w:pPr>
              <w:pStyle w:val="21"/>
            </w:pPr>
            <w:r>
              <w:t>16.53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235.49</w:t>
            </w:r>
          </w:p>
        </w:tc>
        <w:tc>
          <w:tcPr>
            <w:tcW w:w="1361" w:type="dxa"/>
            <w:vAlign w:val="center"/>
          </w:tcPr>
          <w:p>
            <w:pPr>
              <w:pStyle w:val="21"/>
            </w:pPr>
            <w:r>
              <w:t>218.96</w:t>
            </w:r>
          </w:p>
        </w:tc>
        <w:tc>
          <w:tcPr>
            <w:tcW w:w="1361" w:type="dxa"/>
            <w:vAlign w:val="center"/>
          </w:tcPr>
          <w:p>
            <w:pPr>
              <w:pStyle w:val="21"/>
            </w:pPr>
            <w:r>
              <w:t>16.53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5.24</w:t>
            </w:r>
          </w:p>
        </w:tc>
        <w:tc>
          <w:tcPr>
            <w:tcW w:w="1361" w:type="dxa"/>
            <w:vAlign w:val="center"/>
          </w:tcPr>
          <w:p>
            <w:pPr>
              <w:pStyle w:val="21"/>
            </w:pPr>
            <w:r>
              <w:t>0.84</w:t>
            </w:r>
          </w:p>
        </w:tc>
        <w:tc>
          <w:tcPr>
            <w:tcW w:w="1361" w:type="dxa"/>
            <w:vAlign w:val="center"/>
          </w:tcPr>
          <w:p>
            <w:pPr>
              <w:pStyle w:val="21"/>
            </w:pPr>
            <w:r>
              <w:t>4.40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230.25</w:t>
            </w:r>
          </w:p>
        </w:tc>
        <w:tc>
          <w:tcPr>
            <w:tcW w:w="1361" w:type="dxa"/>
            <w:vAlign w:val="center"/>
          </w:tcPr>
          <w:p>
            <w:pPr>
              <w:pStyle w:val="21"/>
            </w:pPr>
            <w:r>
              <w:t>218.12</w:t>
            </w:r>
          </w:p>
        </w:tc>
        <w:tc>
          <w:tcPr>
            <w:tcW w:w="1361" w:type="dxa"/>
            <w:vAlign w:val="center"/>
          </w:tcPr>
          <w:p>
            <w:pPr>
              <w:pStyle w:val="21"/>
            </w:pPr>
            <w:r>
              <w:t>12.13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3402" w:type="dxa"/>
            <w:tcBorders>
              <w:top w:val="single" w:color="FFFFFF" w:sz="6" w:space="0"/>
              <w:left w:val="single" w:color="FFFFFF" w:sz="6" w:space="0"/>
              <w:right w:val="single" w:color="FFFFFF" w:sz="6" w:space="0"/>
            </w:tcBorders>
            <w:vAlign w:val="center"/>
          </w:tcPr>
          <w:p>
            <w:pPr>
              <w:pStyle w:val="1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235.49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235.49</w:t>
            </w:r>
          </w:p>
        </w:tc>
        <w:tc>
          <w:tcPr>
            <w:tcW w:w="1474" w:type="dxa"/>
            <w:vAlign w:val="center"/>
          </w:tcPr>
          <w:p>
            <w:pPr>
              <w:pStyle w:val="21"/>
            </w:pPr>
            <w:r>
              <w:t>235.49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4"/>
            </w:pPr>
            <w:r>
              <w:t>本年收入合计</w:t>
            </w:r>
          </w:p>
        </w:tc>
        <w:tc>
          <w:tcPr>
            <w:tcW w:w="1474" w:type="dxa"/>
            <w:vAlign w:val="center"/>
          </w:tcPr>
          <w:p>
            <w:pPr>
              <w:pStyle w:val="25"/>
            </w:pPr>
            <w:r>
              <w:t>235.49</w:t>
            </w:r>
          </w:p>
        </w:tc>
        <w:tc>
          <w:tcPr>
            <w:tcW w:w="3402" w:type="dxa"/>
            <w:vAlign w:val="center"/>
          </w:tcPr>
          <w:p>
            <w:pPr>
              <w:pStyle w:val="24"/>
            </w:pPr>
            <w:r>
              <w:t>本年支出合计</w:t>
            </w:r>
          </w:p>
        </w:tc>
        <w:tc>
          <w:tcPr>
            <w:tcW w:w="1474" w:type="dxa"/>
            <w:vAlign w:val="center"/>
          </w:tcPr>
          <w:p>
            <w:pPr>
              <w:pStyle w:val="25"/>
            </w:pPr>
            <w:r>
              <w:t>235.49</w:t>
            </w:r>
          </w:p>
        </w:tc>
        <w:tc>
          <w:tcPr>
            <w:tcW w:w="1474" w:type="dxa"/>
            <w:vAlign w:val="center"/>
          </w:tcPr>
          <w:p>
            <w:pPr>
              <w:pStyle w:val="25"/>
            </w:pPr>
            <w:r>
              <w:t>235.49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4"/>
            </w:pPr>
            <w:r>
              <w:t>收入总计</w:t>
            </w:r>
          </w:p>
        </w:tc>
        <w:tc>
          <w:tcPr>
            <w:tcW w:w="1474" w:type="dxa"/>
            <w:vAlign w:val="center"/>
          </w:tcPr>
          <w:p>
            <w:pPr>
              <w:pStyle w:val="25"/>
            </w:pPr>
            <w:r>
              <w:t>235.49</w:t>
            </w:r>
          </w:p>
        </w:tc>
        <w:tc>
          <w:tcPr>
            <w:tcW w:w="3402" w:type="dxa"/>
            <w:vAlign w:val="center"/>
          </w:tcPr>
          <w:p>
            <w:pPr>
              <w:pStyle w:val="24"/>
            </w:pPr>
            <w:r>
              <w:t>支出总计</w:t>
            </w:r>
          </w:p>
        </w:tc>
        <w:tc>
          <w:tcPr>
            <w:tcW w:w="1474" w:type="dxa"/>
            <w:vAlign w:val="center"/>
          </w:tcPr>
          <w:p>
            <w:pPr>
              <w:pStyle w:val="25"/>
            </w:pPr>
            <w:r>
              <w:t>235.49</w:t>
            </w:r>
          </w:p>
        </w:tc>
        <w:tc>
          <w:tcPr>
            <w:tcW w:w="1474" w:type="dxa"/>
            <w:vAlign w:val="center"/>
          </w:tcPr>
          <w:p>
            <w:pPr>
              <w:pStyle w:val="25"/>
            </w:pPr>
            <w:r>
              <w:t>235.49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235.49</w:t>
            </w:r>
          </w:p>
        </w:tc>
        <w:tc>
          <w:tcPr>
            <w:tcW w:w="2551" w:type="dxa"/>
            <w:vAlign w:val="center"/>
          </w:tcPr>
          <w:p>
            <w:pPr>
              <w:pStyle w:val="25"/>
            </w:pPr>
            <w:r>
              <w:t>218.96</w:t>
            </w:r>
          </w:p>
        </w:tc>
        <w:tc>
          <w:tcPr>
            <w:tcW w:w="2551" w:type="dxa"/>
            <w:vAlign w:val="center"/>
          </w:tcPr>
          <w:p>
            <w:pPr>
              <w:pStyle w:val="25"/>
            </w:pPr>
            <w:r>
              <w:t>16.53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235.49</w:t>
            </w:r>
          </w:p>
        </w:tc>
        <w:tc>
          <w:tcPr>
            <w:tcW w:w="2551" w:type="dxa"/>
            <w:vAlign w:val="center"/>
          </w:tcPr>
          <w:p>
            <w:pPr>
              <w:pStyle w:val="21"/>
            </w:pPr>
            <w:r>
              <w:t>218.96</w:t>
            </w:r>
          </w:p>
        </w:tc>
        <w:tc>
          <w:tcPr>
            <w:tcW w:w="2551" w:type="dxa"/>
            <w:vAlign w:val="center"/>
          </w:tcPr>
          <w:p>
            <w:pPr>
              <w:pStyle w:val="21"/>
            </w:pPr>
            <w:r>
              <w:t>16.53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235.49</w:t>
            </w:r>
          </w:p>
        </w:tc>
        <w:tc>
          <w:tcPr>
            <w:tcW w:w="2551" w:type="dxa"/>
            <w:vAlign w:val="center"/>
          </w:tcPr>
          <w:p>
            <w:pPr>
              <w:pStyle w:val="21"/>
            </w:pPr>
            <w:r>
              <w:t>218.96</w:t>
            </w:r>
          </w:p>
        </w:tc>
        <w:tc>
          <w:tcPr>
            <w:tcW w:w="2551" w:type="dxa"/>
            <w:vAlign w:val="center"/>
          </w:tcPr>
          <w:p>
            <w:pPr>
              <w:pStyle w:val="21"/>
            </w:pPr>
            <w:r>
              <w:t>16.53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5.24</w:t>
            </w:r>
          </w:p>
        </w:tc>
        <w:tc>
          <w:tcPr>
            <w:tcW w:w="2551" w:type="dxa"/>
            <w:vAlign w:val="center"/>
          </w:tcPr>
          <w:p>
            <w:pPr>
              <w:pStyle w:val="21"/>
            </w:pPr>
            <w:r>
              <w:t>0.84</w:t>
            </w:r>
          </w:p>
        </w:tc>
        <w:tc>
          <w:tcPr>
            <w:tcW w:w="2551" w:type="dxa"/>
            <w:vAlign w:val="center"/>
          </w:tcPr>
          <w:p>
            <w:pPr>
              <w:pStyle w:val="2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230.25</w:t>
            </w:r>
          </w:p>
        </w:tc>
        <w:tc>
          <w:tcPr>
            <w:tcW w:w="2551" w:type="dxa"/>
            <w:vAlign w:val="center"/>
          </w:tcPr>
          <w:p>
            <w:pPr>
              <w:pStyle w:val="21"/>
            </w:pPr>
            <w:r>
              <w:t>218.12</w:t>
            </w:r>
          </w:p>
        </w:tc>
        <w:tc>
          <w:tcPr>
            <w:tcW w:w="2551" w:type="dxa"/>
            <w:vAlign w:val="center"/>
          </w:tcPr>
          <w:p>
            <w:pPr>
              <w:pStyle w:val="21"/>
            </w:pPr>
            <w:r>
              <w:t>12.13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支出单位经济分类科目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218.96</w:t>
            </w:r>
          </w:p>
        </w:tc>
        <w:tc>
          <w:tcPr>
            <w:tcW w:w="2551" w:type="dxa"/>
            <w:vAlign w:val="center"/>
          </w:tcPr>
          <w:p>
            <w:pPr>
              <w:pStyle w:val="25"/>
            </w:pPr>
            <w:r>
              <w:t>214.57</w:t>
            </w:r>
          </w:p>
        </w:tc>
        <w:tc>
          <w:tcPr>
            <w:tcW w:w="2551" w:type="dxa"/>
            <w:vAlign w:val="center"/>
          </w:tcPr>
          <w:p>
            <w:pPr>
              <w:pStyle w:val="25"/>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180.57</w:t>
            </w:r>
          </w:p>
        </w:tc>
        <w:tc>
          <w:tcPr>
            <w:tcW w:w="2551" w:type="dxa"/>
            <w:vAlign w:val="center"/>
          </w:tcPr>
          <w:p>
            <w:pPr>
              <w:pStyle w:val="21"/>
            </w:pPr>
            <w:r>
              <w:t>180.57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50.97</w:t>
            </w:r>
          </w:p>
        </w:tc>
        <w:tc>
          <w:tcPr>
            <w:tcW w:w="2551" w:type="dxa"/>
            <w:vAlign w:val="center"/>
          </w:tcPr>
          <w:p>
            <w:pPr>
              <w:pStyle w:val="21"/>
            </w:pPr>
            <w:r>
              <w:t>50.97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15.10</w:t>
            </w:r>
          </w:p>
        </w:tc>
        <w:tc>
          <w:tcPr>
            <w:tcW w:w="2551" w:type="dxa"/>
            <w:vAlign w:val="center"/>
          </w:tcPr>
          <w:p>
            <w:pPr>
              <w:pStyle w:val="21"/>
            </w:pPr>
            <w:r>
              <w:t>15.10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70.72</w:t>
            </w:r>
          </w:p>
        </w:tc>
        <w:tc>
          <w:tcPr>
            <w:tcW w:w="2551" w:type="dxa"/>
            <w:vAlign w:val="center"/>
          </w:tcPr>
          <w:p>
            <w:pPr>
              <w:pStyle w:val="21"/>
            </w:pPr>
            <w:r>
              <w:t>70.72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14.35</w:t>
            </w:r>
          </w:p>
        </w:tc>
        <w:tc>
          <w:tcPr>
            <w:tcW w:w="2551" w:type="dxa"/>
            <w:vAlign w:val="center"/>
          </w:tcPr>
          <w:p>
            <w:pPr>
              <w:pStyle w:val="21"/>
            </w:pPr>
            <w:r>
              <w:t>14.35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城镇职工基本医疗保险缴费</w:t>
            </w:r>
          </w:p>
        </w:tc>
        <w:tc>
          <w:tcPr>
            <w:tcW w:w="2551" w:type="dxa"/>
            <w:vAlign w:val="center"/>
          </w:tcPr>
          <w:p>
            <w:pPr>
              <w:pStyle w:val="21"/>
            </w:pPr>
            <w:r>
              <w:t>5.18</w:t>
            </w:r>
          </w:p>
        </w:tc>
        <w:tc>
          <w:tcPr>
            <w:tcW w:w="2551" w:type="dxa"/>
            <w:vAlign w:val="center"/>
          </w:tcPr>
          <w:p>
            <w:pPr>
              <w:pStyle w:val="21"/>
            </w:pPr>
            <w:r>
              <w:t>5.18</w:t>
            </w:r>
          </w:p>
        </w:tc>
        <w:tc>
          <w:tcPr>
            <w:tcW w:w="2551"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1.26</w:t>
            </w:r>
          </w:p>
        </w:tc>
        <w:tc>
          <w:tcPr>
            <w:tcW w:w="2551" w:type="dxa"/>
            <w:vAlign w:val="center"/>
          </w:tcPr>
          <w:p>
            <w:pPr>
              <w:pStyle w:val="21"/>
            </w:pPr>
            <w:r>
              <w:t>1.26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10.76</w:t>
            </w:r>
          </w:p>
        </w:tc>
        <w:tc>
          <w:tcPr>
            <w:tcW w:w="2551" w:type="dxa"/>
            <w:vAlign w:val="center"/>
          </w:tcPr>
          <w:p>
            <w:pPr>
              <w:pStyle w:val="21"/>
            </w:pPr>
            <w:r>
              <w:t>10.76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12.23</w:t>
            </w:r>
          </w:p>
        </w:tc>
        <w:tc>
          <w:tcPr>
            <w:tcW w:w="2551" w:type="dxa"/>
            <w:vAlign w:val="center"/>
          </w:tcPr>
          <w:p>
            <w:pPr>
              <w:pStyle w:val="21"/>
            </w:pPr>
            <w:r>
              <w:t>12.23</w:t>
            </w:r>
          </w:p>
        </w:tc>
        <w:tc>
          <w:tcPr>
            <w:tcW w:w="2551"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3.64</w:t>
            </w:r>
          </w:p>
        </w:tc>
        <w:tc>
          <w:tcPr>
            <w:tcW w:w="2551" w:type="dxa"/>
            <w:vAlign w:val="center"/>
          </w:tcPr>
          <w:p>
            <w:pPr>
              <w:pStyle w:val="21"/>
            </w:pPr>
          </w:p>
        </w:tc>
        <w:tc>
          <w:tcPr>
            <w:tcW w:w="2551" w:type="dxa"/>
            <w:vAlign w:val="center"/>
          </w:tcPr>
          <w:p>
            <w:pPr>
              <w:pStyle w:val="21"/>
            </w:pPr>
            <w:r>
              <w:t>3.64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0.09</w:t>
            </w:r>
          </w:p>
        </w:tc>
        <w:tc>
          <w:tcPr>
            <w:tcW w:w="2551" w:type="dxa"/>
            <w:vAlign w:val="center"/>
          </w:tcPr>
          <w:p>
            <w:pPr>
              <w:pStyle w:val="21"/>
            </w:pPr>
          </w:p>
        </w:tc>
        <w:tc>
          <w:tcPr>
            <w:tcW w:w="2551" w:type="dxa"/>
            <w:vAlign w:val="center"/>
          </w:tcPr>
          <w:p>
            <w:pPr>
              <w:pStyle w:val="21"/>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2.11</w:t>
            </w:r>
          </w:p>
        </w:tc>
        <w:tc>
          <w:tcPr>
            <w:tcW w:w="2551" w:type="dxa"/>
            <w:vAlign w:val="center"/>
          </w:tcPr>
          <w:p>
            <w:pPr>
              <w:pStyle w:val="21"/>
            </w:pPr>
          </w:p>
        </w:tc>
        <w:tc>
          <w:tcPr>
            <w:tcW w:w="2551" w:type="dxa"/>
            <w:vAlign w:val="center"/>
          </w:tcPr>
          <w:p>
            <w:pPr>
              <w:pStyle w:val="21"/>
            </w:pPr>
            <w: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1.44</w:t>
            </w:r>
          </w:p>
        </w:tc>
        <w:tc>
          <w:tcPr>
            <w:tcW w:w="2551" w:type="dxa"/>
            <w:vAlign w:val="center"/>
          </w:tcPr>
          <w:p>
            <w:pPr>
              <w:pStyle w:val="21"/>
            </w:pPr>
          </w:p>
        </w:tc>
        <w:tc>
          <w:tcPr>
            <w:tcW w:w="2551" w:type="dxa"/>
            <w:vAlign w:val="center"/>
          </w:tcPr>
          <w:p>
            <w:pPr>
              <w:pStyle w:val="2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34.00</w:t>
            </w:r>
          </w:p>
        </w:tc>
        <w:tc>
          <w:tcPr>
            <w:tcW w:w="2551" w:type="dxa"/>
            <w:vAlign w:val="center"/>
          </w:tcPr>
          <w:p>
            <w:pPr>
              <w:pStyle w:val="21"/>
            </w:pPr>
            <w:r>
              <w:t>34.00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21.70</w:t>
            </w:r>
          </w:p>
        </w:tc>
        <w:tc>
          <w:tcPr>
            <w:tcW w:w="2551" w:type="dxa"/>
            <w:vAlign w:val="center"/>
          </w:tcPr>
          <w:p>
            <w:pPr>
              <w:pStyle w:val="21"/>
            </w:pPr>
            <w:r>
              <w:t>21.70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12.27</w:t>
            </w:r>
          </w:p>
        </w:tc>
        <w:tc>
          <w:tcPr>
            <w:tcW w:w="2551" w:type="dxa"/>
            <w:vAlign w:val="center"/>
          </w:tcPr>
          <w:p>
            <w:pPr>
              <w:pStyle w:val="21"/>
            </w:pPr>
            <w:r>
              <w:t>12.27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310</w:t>
            </w:r>
          </w:p>
        </w:tc>
        <w:tc>
          <w:tcPr>
            <w:tcW w:w="4535" w:type="dxa"/>
            <w:vAlign w:val="center"/>
          </w:tcPr>
          <w:p>
            <w:pPr>
              <w:pStyle w:val="22"/>
            </w:pPr>
            <w:r>
              <w:t>资本性支出</w:t>
            </w:r>
          </w:p>
        </w:tc>
        <w:tc>
          <w:tcPr>
            <w:tcW w:w="2551" w:type="dxa"/>
            <w:vAlign w:val="center"/>
          </w:tcPr>
          <w:p>
            <w:pPr>
              <w:pStyle w:val="21"/>
            </w:pPr>
            <w:r>
              <w:t>0.75</w:t>
            </w:r>
          </w:p>
        </w:tc>
        <w:tc>
          <w:tcPr>
            <w:tcW w:w="2551" w:type="dxa"/>
            <w:vAlign w:val="center"/>
          </w:tcPr>
          <w:p>
            <w:pPr>
              <w:pStyle w:val="21"/>
            </w:pPr>
          </w:p>
        </w:tc>
        <w:tc>
          <w:tcPr>
            <w:tcW w:w="2551" w:type="dxa"/>
            <w:vAlign w:val="center"/>
          </w:tcPr>
          <w:p>
            <w:pPr>
              <w:pStyle w:val="2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31002</w:t>
            </w:r>
          </w:p>
        </w:tc>
        <w:tc>
          <w:tcPr>
            <w:tcW w:w="4535" w:type="dxa"/>
            <w:vAlign w:val="center"/>
          </w:tcPr>
          <w:p>
            <w:pPr>
              <w:pStyle w:val="22"/>
            </w:pPr>
            <w:r>
              <w:t>办公设备购置</w:t>
            </w:r>
          </w:p>
        </w:tc>
        <w:tc>
          <w:tcPr>
            <w:tcW w:w="2551" w:type="dxa"/>
            <w:vAlign w:val="center"/>
          </w:tcPr>
          <w:p>
            <w:pPr>
              <w:pStyle w:val="21"/>
            </w:pPr>
            <w:r>
              <w:t>0.75</w:t>
            </w:r>
          </w:p>
        </w:tc>
        <w:tc>
          <w:tcPr>
            <w:tcW w:w="2551" w:type="dxa"/>
            <w:vAlign w:val="center"/>
          </w:tcPr>
          <w:p>
            <w:pPr>
              <w:pStyle w:val="21"/>
            </w:pPr>
          </w:p>
        </w:tc>
        <w:tc>
          <w:tcPr>
            <w:tcW w:w="2551" w:type="dxa"/>
            <w:vAlign w:val="center"/>
          </w:tcPr>
          <w:p>
            <w:pPr>
              <w:pStyle w:val="21"/>
            </w:pPr>
            <w:r>
              <w:t>0.75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381" w:type="dxa"/>
            <w:tcBorders>
              <w:top w:val="single" w:color="FFFFFF" w:sz="6" w:space="0"/>
              <w:left w:val="single" w:color="FFFFFF" w:sz="6" w:space="0"/>
              <w:right w:val="single" w:color="FFFFFF" w:sz="6" w:space="0"/>
            </w:tcBorders>
            <w:vAlign w:val="center"/>
          </w:tcPr>
          <w:p>
            <w:pPr>
              <w:pStyle w:val="1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霸州市胜芳镇新华小学2022年单位预算信息公开情况说明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按照《预算法》、《地方预决算公开操作规程》和《关于进一步推进预算公开工作的实施意见》规定，现将霸州市胜芳镇新华小学2022年单位预算公开如下：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84" w:lineRule="exact"/>
        <w:ind w:firstLine="560" w:firstLineChars="200"/>
        <w:rPr>
          <w:rFonts w:ascii="宋体" w:hAnsi="宋体" w:eastAsia="宋体" w:cs="Times New Roman"/>
          <w:sz w:val="28"/>
          <w:szCs w:val="28"/>
        </w:rPr>
      </w:pPr>
      <w:r>
        <w:rPr>
          <w:rFonts w:hint="eastAsia" w:ascii="宋体" w:hAnsi="宋体" w:eastAsia="宋体" w:cs="宋体"/>
          <w:sz w:val="28"/>
          <w:szCs w:val="28"/>
        </w:rPr>
        <w:t>实施</w:t>
      </w:r>
      <w:r>
        <w:rPr>
          <w:rFonts w:hint="eastAsia" w:eastAsia="方正仿宋_GBK"/>
          <w:color w:val="000000"/>
          <w:sz w:val="28"/>
        </w:rPr>
        <w:t>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霸州市胜芳镇新华小学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仿宋_GB2312" w:hAnsi="Times New Roman" w:eastAsia="仿宋_GB2312" w:cs="Times New Roman"/>
          <w:b/>
          <w:bCs/>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、收入说明</w:t>
      </w:r>
    </w:p>
    <w:p>
      <w:pPr>
        <w:ind w:firstLine="560" w:firstLineChars="200"/>
        <w:rPr>
          <w:rFonts w:eastAsia="方正仿宋_GBK"/>
          <w:color w:val="000000"/>
          <w:sz w:val="28"/>
        </w:rPr>
      </w:pPr>
      <w:r>
        <w:rPr>
          <w:rFonts w:hint="eastAsia" w:eastAsia="方正仿宋_GBK"/>
          <w:color w:val="000000"/>
          <w:sz w:val="28"/>
        </w:rPr>
        <w:t>反映本单位当年全部收入。</w:t>
      </w:r>
      <w:r>
        <w:rPr>
          <w:rFonts w:eastAsia="方正仿宋_GBK"/>
          <w:color w:val="000000"/>
          <w:sz w:val="28"/>
        </w:rPr>
        <w:t>2022</w:t>
      </w:r>
      <w:r>
        <w:rPr>
          <w:rFonts w:hint="eastAsia" w:eastAsia="方正仿宋_GBK"/>
          <w:color w:val="000000"/>
          <w:sz w:val="28"/>
        </w:rPr>
        <w:t>年预算收入</w:t>
      </w:r>
      <w:r>
        <w:rPr>
          <w:rFonts w:eastAsia="方正仿宋_GBK"/>
          <w:color w:val="000000"/>
          <w:sz w:val="28"/>
        </w:rPr>
        <w:t>235.49</w:t>
      </w:r>
      <w:r>
        <w:rPr>
          <w:rFonts w:hint="eastAsia" w:eastAsia="方正仿宋_GBK"/>
          <w:color w:val="000000"/>
          <w:sz w:val="28"/>
        </w:rPr>
        <w:t>万元，其中：一般公共预算收入</w:t>
      </w:r>
      <w:r>
        <w:rPr>
          <w:rFonts w:eastAsia="方正仿宋_GBK"/>
          <w:color w:val="000000"/>
          <w:sz w:val="28"/>
        </w:rPr>
        <w:t>235.49</w:t>
      </w:r>
      <w:r>
        <w:rPr>
          <w:rFonts w:hint="eastAsia" w:eastAsia="方正仿宋_GBK"/>
          <w:color w:val="000000"/>
          <w:sz w:val="28"/>
        </w:rPr>
        <w:t>万元，政府性基金预算收入</w:t>
      </w:r>
      <w:r>
        <w:rPr>
          <w:rFonts w:eastAsia="方正仿宋_GBK"/>
          <w:color w:val="000000"/>
          <w:sz w:val="28"/>
        </w:rPr>
        <w:t>0</w:t>
      </w:r>
      <w:r>
        <w:rPr>
          <w:rFonts w:hint="eastAsia" w:eastAsia="方正仿宋_GBK"/>
          <w:color w:val="000000"/>
          <w:sz w:val="28"/>
        </w:rPr>
        <w:t>万元，国有资本经营预算收入</w:t>
      </w:r>
      <w:r>
        <w:rPr>
          <w:rFonts w:eastAsia="方正仿宋_GBK"/>
          <w:color w:val="000000"/>
          <w:sz w:val="28"/>
        </w:rPr>
        <w:t>0</w:t>
      </w:r>
      <w:r>
        <w:rPr>
          <w:rFonts w:hint="eastAsia" w:eastAsia="方正仿宋_GBK"/>
          <w:color w:val="000000"/>
          <w:sz w:val="28"/>
        </w:rPr>
        <w:t>万元，财政专户管理资金收入</w:t>
      </w:r>
      <w:r>
        <w:rPr>
          <w:rFonts w:eastAsia="方正仿宋_GBK"/>
          <w:color w:val="000000"/>
          <w:sz w:val="28"/>
        </w:rPr>
        <w:t>0</w:t>
      </w:r>
      <w:r>
        <w:rPr>
          <w:rFonts w:hint="eastAsia" w:eastAsia="方正仿宋_GBK"/>
          <w:color w:val="000000"/>
          <w:sz w:val="28"/>
        </w:rPr>
        <w:t>万元，上级补助收入</w:t>
      </w:r>
      <w:r>
        <w:rPr>
          <w:rFonts w:eastAsia="方正仿宋_GBK"/>
          <w:color w:val="000000"/>
          <w:sz w:val="28"/>
        </w:rPr>
        <w:t>0</w:t>
      </w:r>
      <w:r>
        <w:rPr>
          <w:rFonts w:hint="eastAsia" w:eastAsia="方正仿宋_GBK"/>
          <w:color w:val="000000"/>
          <w:sz w:val="28"/>
        </w:rPr>
        <w:t>万元，事业收入</w:t>
      </w:r>
      <w:r>
        <w:rPr>
          <w:rFonts w:eastAsia="方正仿宋_GBK"/>
          <w:color w:val="000000"/>
          <w:sz w:val="28"/>
        </w:rPr>
        <w:t>0</w:t>
      </w:r>
      <w:r>
        <w:rPr>
          <w:rFonts w:hint="eastAsia" w:eastAsia="方正仿宋_GBK"/>
          <w:color w:val="000000"/>
          <w:sz w:val="28"/>
        </w:rPr>
        <w:t>万元，经营收入</w:t>
      </w:r>
      <w:r>
        <w:rPr>
          <w:rFonts w:eastAsia="方正仿宋_GBK"/>
          <w:color w:val="000000"/>
          <w:sz w:val="28"/>
        </w:rPr>
        <w:t>0</w:t>
      </w:r>
      <w:r>
        <w:rPr>
          <w:rFonts w:hint="eastAsia" w:eastAsia="方正仿宋_GBK"/>
          <w:color w:val="000000"/>
          <w:sz w:val="28"/>
        </w:rPr>
        <w:t>万元，附属单位上缴收入</w:t>
      </w:r>
      <w:r>
        <w:rPr>
          <w:rFonts w:eastAsia="方正仿宋_GBK"/>
          <w:color w:val="000000"/>
          <w:sz w:val="28"/>
        </w:rPr>
        <w:t>0</w:t>
      </w:r>
      <w:r>
        <w:rPr>
          <w:rFonts w:hint="eastAsia" w:eastAsia="方正仿宋_GBK"/>
          <w:color w:val="000000"/>
          <w:sz w:val="28"/>
        </w:rPr>
        <w:t>万元，其他收入</w:t>
      </w:r>
      <w:r>
        <w:rPr>
          <w:rFonts w:eastAsia="方正仿宋_GBK"/>
          <w:color w:val="000000"/>
          <w:sz w:val="28"/>
        </w:rPr>
        <w:t>0</w:t>
      </w:r>
      <w:r>
        <w:rPr>
          <w:rFonts w:hint="eastAsia" w:eastAsia="方正仿宋_GBK"/>
          <w:color w:val="000000"/>
          <w:sz w:val="28"/>
        </w:rPr>
        <w:t>万元，上年结转</w:t>
      </w:r>
      <w:r>
        <w:rPr>
          <w:rFonts w:eastAsia="方正仿宋_GBK"/>
          <w:color w:val="000000"/>
          <w:sz w:val="28"/>
        </w:rPr>
        <w:t>0</w:t>
      </w:r>
      <w:r>
        <w:rPr>
          <w:rFonts w:hint="eastAsia" w:eastAsia="方正仿宋_GBK"/>
          <w:color w:val="000000"/>
          <w:sz w:val="28"/>
        </w:rPr>
        <w:t>万元。</w:t>
      </w:r>
    </w:p>
    <w:p>
      <w:pPr>
        <w:ind w:firstLine="640"/>
        <w:rPr>
          <w:rFonts w:ascii="仿宋_GB2312" w:hAnsi="Times New Roman" w:eastAsia="仿宋_GB2312" w:cs="Times New Roman"/>
          <w:sz w:val="28"/>
          <w:szCs w:val="28"/>
        </w:rPr>
      </w:pP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收支预算总表支出栏、基本支出表、项目支出表按经济分类和支出功能分类科目编制，反映霸州市胜芳镇新华小学</w:t>
      </w:r>
      <w:r>
        <w:rPr>
          <w:rFonts w:eastAsia="方正仿宋_GBK"/>
          <w:color w:val="000000"/>
          <w:sz w:val="28"/>
        </w:rPr>
        <w:t>2022</w:t>
      </w:r>
      <w:r>
        <w:rPr>
          <w:rFonts w:hint="eastAsia" w:eastAsia="方正仿宋_GBK"/>
          <w:color w:val="000000"/>
          <w:sz w:val="28"/>
        </w:rPr>
        <w:t>年度单位预算中支出预算的总体情况。</w:t>
      </w:r>
      <w:r>
        <w:rPr>
          <w:rFonts w:eastAsia="方正仿宋_GBK"/>
          <w:color w:val="000000"/>
          <w:sz w:val="28"/>
        </w:rPr>
        <w:t>2022</w:t>
      </w:r>
      <w:r>
        <w:rPr>
          <w:rFonts w:hint="eastAsia" w:eastAsia="方正仿宋_GBK"/>
          <w:color w:val="000000"/>
          <w:sz w:val="28"/>
        </w:rPr>
        <w:t>年支出预算</w:t>
      </w:r>
      <w:r>
        <w:rPr>
          <w:rFonts w:eastAsia="方正仿宋_GBK"/>
          <w:color w:val="000000"/>
          <w:sz w:val="28"/>
        </w:rPr>
        <w:t>235.49</w:t>
      </w:r>
      <w:r>
        <w:rPr>
          <w:rFonts w:hint="eastAsia" w:eastAsia="方正仿宋_GBK"/>
          <w:color w:val="000000"/>
          <w:sz w:val="28"/>
        </w:rPr>
        <w:t>万元，其中：基本支出</w:t>
      </w:r>
      <w:r>
        <w:rPr>
          <w:rFonts w:eastAsia="方正仿宋_GBK"/>
          <w:color w:val="000000"/>
          <w:sz w:val="28"/>
        </w:rPr>
        <w:t>218.96</w:t>
      </w:r>
      <w:r>
        <w:rPr>
          <w:rFonts w:hint="eastAsia" w:eastAsia="方正仿宋_GBK"/>
          <w:color w:val="000000"/>
          <w:sz w:val="28"/>
        </w:rPr>
        <w:t>万元，包括：人员经费</w:t>
      </w:r>
      <w:r>
        <w:rPr>
          <w:rFonts w:eastAsia="方正仿宋_GBK"/>
          <w:color w:val="000000"/>
          <w:sz w:val="28"/>
        </w:rPr>
        <w:t>214.57</w:t>
      </w:r>
      <w:r>
        <w:rPr>
          <w:rFonts w:hint="eastAsia" w:eastAsia="方正仿宋_GBK"/>
          <w:color w:val="000000"/>
          <w:sz w:val="28"/>
        </w:rPr>
        <w:t>万元和日常公用经费</w:t>
      </w:r>
      <w:r>
        <w:rPr>
          <w:rFonts w:eastAsia="方正仿宋_GBK"/>
          <w:color w:val="000000"/>
          <w:sz w:val="28"/>
        </w:rPr>
        <w:t>4.39</w:t>
      </w:r>
      <w:r>
        <w:rPr>
          <w:rFonts w:hint="eastAsia" w:eastAsia="方正仿宋_GBK"/>
          <w:color w:val="000000"/>
          <w:sz w:val="28"/>
        </w:rPr>
        <w:t>万元；项目支出</w:t>
      </w:r>
      <w:r>
        <w:rPr>
          <w:rFonts w:eastAsia="方正仿宋_GBK"/>
          <w:color w:val="000000"/>
          <w:sz w:val="28"/>
        </w:rPr>
        <w:t>16.53</w:t>
      </w:r>
      <w:r>
        <w:rPr>
          <w:rFonts w:hint="eastAsia" w:eastAsia="方正仿宋_GBK"/>
          <w:color w:val="000000"/>
          <w:sz w:val="28"/>
        </w:rPr>
        <w:t>万元等,主要为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w:t>
      </w:r>
      <w:r>
        <w:rPr>
          <w:rFonts w:eastAsia="方正仿宋_GBK"/>
          <w:color w:val="000000"/>
          <w:sz w:val="28"/>
        </w:rPr>
        <w:t>幼儿保教经费</w:t>
      </w:r>
      <w:r>
        <w:rPr>
          <w:rFonts w:hint="eastAsia" w:eastAsia="方正仿宋_GBK"/>
          <w:color w:val="000000"/>
          <w:sz w:val="28"/>
        </w:rPr>
        <w:t>。</w:t>
      </w:r>
    </w:p>
    <w:p>
      <w:pPr>
        <w:ind w:firstLine="640"/>
        <w:rPr>
          <w:rFonts w:ascii="仿宋_GB2312" w:hAnsi="Times New Roman" w:eastAsia="仿宋_GB2312" w:cs="Times New Roman"/>
          <w:sz w:val="28"/>
          <w:szCs w:val="28"/>
        </w:rPr>
      </w:pP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、比上年增减情况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年预算收支安排</w:t>
      </w:r>
      <w:r>
        <w:rPr>
          <w:rFonts w:eastAsia="方正仿宋_GBK"/>
          <w:color w:val="000000"/>
          <w:sz w:val="28"/>
        </w:rPr>
        <w:t>235.49</w:t>
      </w:r>
      <w:r>
        <w:rPr>
          <w:rFonts w:hint="eastAsia" w:eastAsia="方正仿宋_GBK"/>
          <w:color w:val="000000"/>
          <w:sz w:val="28"/>
        </w:rPr>
        <w:t>万元，较</w:t>
      </w:r>
      <w:r>
        <w:rPr>
          <w:rFonts w:eastAsia="方正仿宋_GBK"/>
          <w:color w:val="000000"/>
          <w:sz w:val="28"/>
        </w:rPr>
        <w:t>2021</w:t>
      </w:r>
      <w:r>
        <w:rPr>
          <w:rFonts w:hint="eastAsia" w:eastAsia="方正仿宋_GBK"/>
          <w:color w:val="000000"/>
          <w:sz w:val="28"/>
        </w:rPr>
        <w:t>预算减少15.77万元：基本支出减少32.3万元，主要为减少日常公用经费支出；项目支出增加</w:t>
      </w:r>
      <w:r>
        <w:rPr>
          <w:rFonts w:hint="eastAsia" w:asciiTheme="minorEastAsia" w:hAnsiTheme="minorEastAsia"/>
          <w:color w:val="000000"/>
          <w:sz w:val="28"/>
        </w:rPr>
        <w:t>16.53</w:t>
      </w:r>
      <w:r>
        <w:rPr>
          <w:rFonts w:hint="eastAsia" w:eastAsia="方正仿宋_GBK"/>
          <w:color w:val="000000"/>
          <w:sz w:val="28"/>
        </w:rPr>
        <w:t>万元，主要为增加日常公用经费项目支出。</w:t>
      </w:r>
    </w:p>
    <w:p>
      <w:pPr>
        <w:ind w:firstLine="640"/>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eastAsia="方正仿宋_GBK"/>
          <w:color w:val="000000"/>
          <w:sz w:val="28"/>
        </w:rPr>
      </w:pPr>
      <w:r>
        <w:rPr>
          <w:rFonts w:eastAsia="方正仿宋_GBK"/>
          <w:color w:val="000000"/>
          <w:sz w:val="28"/>
        </w:rPr>
        <w:t>2022</w:t>
      </w:r>
      <w:r>
        <w:rPr>
          <w:rFonts w:hint="eastAsia" w:eastAsia="方正仿宋_GBK"/>
          <w:color w:val="000000"/>
          <w:sz w:val="28"/>
        </w:rPr>
        <w:t>年，我单位运行经费共计安排20.92万元，办公费、工会经费、福利费、办公设备购置费等日常运行支出。</w:t>
      </w:r>
    </w:p>
    <w:p>
      <w:pPr>
        <w:ind w:firstLine="560" w:firstLineChars="200"/>
        <w:rPr>
          <w:rFonts w:eastAsia="方正仿宋_GBK"/>
          <w:color w:val="000000"/>
          <w:sz w:val="28"/>
        </w:rPr>
      </w:pPr>
    </w:p>
    <w:p>
      <w:pPr>
        <w:pStyle w:val="37"/>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eastAsia="方正仿宋_GBK"/>
          <w:color w:val="000000"/>
          <w:sz w:val="28"/>
        </w:rPr>
      </w:pPr>
      <w:r>
        <w:rPr>
          <w:rFonts w:eastAsia="方正仿宋_GBK"/>
          <w:color w:val="000000"/>
          <w:sz w:val="28"/>
        </w:rPr>
        <w:t>2022</w:t>
      </w:r>
      <w:r>
        <w:rPr>
          <w:rFonts w:hint="eastAsia" w:eastAsia="方正仿宋_GBK"/>
          <w:color w:val="000000"/>
          <w:sz w:val="28"/>
        </w:rPr>
        <w:t>年，我单位“三公”经费预算安排</w:t>
      </w:r>
      <w:r>
        <w:rPr>
          <w:rFonts w:hint="eastAsia" w:asciiTheme="minorEastAsia" w:hAnsiTheme="minorEastAsia"/>
          <w:color w:val="000000"/>
          <w:sz w:val="28"/>
        </w:rPr>
        <w:t>0</w:t>
      </w:r>
      <w:r>
        <w:rPr>
          <w:rFonts w:hint="eastAsia" w:eastAsia="方正仿宋_GBK"/>
          <w:color w:val="000000"/>
          <w:sz w:val="28"/>
        </w:rPr>
        <w:t>万元，因公出国（境）费0万元；公务用车购置及运维费0万元（其中：公务用车购置费0万元，公务用车运行维护费0万元)；公务接待费0万元，培训费</w:t>
      </w:r>
      <w:r>
        <w:rPr>
          <w:rFonts w:hint="eastAsia" w:asciiTheme="minorEastAsia" w:hAnsiTheme="minorEastAsia"/>
          <w:color w:val="000000"/>
          <w:sz w:val="28"/>
        </w:rPr>
        <w:t>0</w:t>
      </w:r>
      <w:r>
        <w:rPr>
          <w:rFonts w:hint="eastAsia" w:eastAsia="方正仿宋_GBK"/>
          <w:color w:val="000000"/>
          <w:sz w:val="28"/>
        </w:rPr>
        <w:t>万元，较2021年“三公”经费增加</w:t>
      </w:r>
      <w:r>
        <w:rPr>
          <w:rFonts w:hint="eastAsia" w:asciiTheme="minorEastAsia" w:hAnsiTheme="minorEastAsia"/>
          <w:color w:val="000000"/>
          <w:sz w:val="28"/>
        </w:rPr>
        <w:t>0</w:t>
      </w:r>
      <w:r>
        <w:rPr>
          <w:rFonts w:hint="eastAsia" w:eastAsia="方正仿宋_GBK"/>
          <w:color w:val="000000"/>
          <w:sz w:val="28"/>
        </w:rPr>
        <w:t>万元。</w:t>
      </w:r>
    </w:p>
    <w:p>
      <w:pPr>
        <w:ind w:firstLine="560" w:firstLineChars="200"/>
        <w:rPr>
          <w:rFonts w:ascii="仿宋_GB2312" w:hAnsi="Times New Roman" w:eastAsia="仿宋_GB2312" w:cs="Times New Roman"/>
          <w:sz w:val="28"/>
          <w:szCs w:val="28"/>
        </w:rPr>
      </w:pPr>
    </w:p>
    <w:p>
      <w:pPr>
        <w:pStyle w:val="38"/>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≥55人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2022年，霸州市胜芳镇新华小学安排政府采购预算</w:t>
      </w:r>
      <w:r>
        <w:rPr>
          <w:rFonts w:hint="eastAsia" w:eastAsia="方正仿宋_GBK"/>
          <w:color w:val="000000"/>
          <w:sz w:val="28"/>
        </w:rPr>
        <w:t>0.75</w:t>
      </w:r>
      <w:r>
        <w:rPr>
          <w:rFonts w:eastAsia="方正仿宋_GBK"/>
          <w:color w:val="000000"/>
          <w:sz w:val="28"/>
        </w:rPr>
        <w:t>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501590霸州市胜芳镇新华小学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政府采购金额（当年单位预算安排资金）</w:t>
            </w:r>
          </w:p>
        </w:tc>
        <w:tc>
          <w:tcPr>
            <w:tcW w:w="964" w:type="dxa"/>
            <w:vMerge w:val="restart"/>
            <w:vAlign w:val="center"/>
          </w:tcPr>
          <w:p>
            <w:pPr>
              <w:pStyle w:val="2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公用类项目</w:t>
            </w:r>
          </w:p>
        </w:tc>
        <w:tc>
          <w:tcPr>
            <w:tcW w:w="964" w:type="dxa"/>
            <w:vAlign w:val="center"/>
          </w:tcPr>
          <w:p>
            <w:pPr>
              <w:spacing w:line="300" w:lineRule="exact"/>
              <w:jc w:val="right"/>
              <w:rPr>
                <w:rFonts w:ascii="方正书宋_GBK" w:eastAsia="方正书宋_GBK" w:cs="Times New Roman"/>
              </w:rPr>
            </w:pPr>
            <w:r>
              <w:rPr>
                <w:rFonts w:hint="eastAsia" w:ascii="方正书宋_GBK" w:eastAsia="方正书宋_GBK" w:cs="方正书宋_GBK"/>
              </w:rPr>
              <w:t>0.75</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1134"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台</w:t>
            </w:r>
          </w:p>
        </w:tc>
        <w:tc>
          <w:tcPr>
            <w:tcW w:w="850" w:type="dxa"/>
            <w:vAlign w:val="center"/>
          </w:tcPr>
          <w:p>
            <w:pPr>
              <w:spacing w:line="300" w:lineRule="exact"/>
              <w:jc w:val="right"/>
              <w:rPr>
                <w:rFonts w:ascii="方正书宋_GBK" w:eastAsia="方正书宋_GBK" w:cs="方正书宋_GBK"/>
              </w:rPr>
            </w:pPr>
            <w:r>
              <w:rPr>
                <w:rFonts w:hint="eastAsia" w:ascii="方正书宋_GBK" w:eastAsia="方正书宋_GBK" w:cs="方正书宋_GBK"/>
              </w:rPr>
              <w:t>3</w:t>
            </w:r>
          </w:p>
        </w:tc>
        <w:tc>
          <w:tcPr>
            <w:tcW w:w="850" w:type="dxa"/>
            <w:vAlign w:val="center"/>
          </w:tcPr>
          <w:p>
            <w:pPr>
              <w:pStyle w:val="21"/>
              <w:rPr>
                <w:lang w:eastAsia="zh-CN"/>
              </w:rPr>
            </w:pPr>
            <w:r>
              <w:rPr>
                <w:rFonts w:hint="eastAsia"/>
                <w:lang w:eastAsia="zh-CN"/>
              </w:rPr>
              <w:t>0.25</w:t>
            </w:r>
          </w:p>
        </w:tc>
        <w:tc>
          <w:tcPr>
            <w:tcW w:w="964" w:type="dxa"/>
            <w:vAlign w:val="center"/>
          </w:tcPr>
          <w:p>
            <w:pPr>
              <w:pStyle w:val="21"/>
              <w:rPr>
                <w:lang w:eastAsia="zh-CN"/>
              </w:rPr>
            </w:pPr>
            <w:r>
              <w:rPr>
                <w:rFonts w:hint="eastAsia"/>
                <w:lang w:eastAsia="zh-CN"/>
              </w:rPr>
              <w:t>0.75</w:t>
            </w:r>
          </w:p>
        </w:tc>
        <w:tc>
          <w:tcPr>
            <w:tcW w:w="964" w:type="dxa"/>
            <w:vAlign w:val="center"/>
          </w:tcPr>
          <w:p>
            <w:pPr>
              <w:pStyle w:val="21"/>
              <w:rPr>
                <w:rFonts w:hint="eastAsia" w:eastAsiaTheme="minorEastAsia"/>
                <w:lang w:eastAsia="zh-CN"/>
              </w:rPr>
            </w:pPr>
            <w:r>
              <w:rPr>
                <w:rFonts w:hint="eastAsia"/>
                <w:lang w:eastAsia="zh-CN"/>
              </w:rPr>
              <w:t>0.75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rPr>
          <w:rFonts w:eastAsia="方正仿宋_GBK"/>
          <w:color w:val="000000"/>
          <w:sz w:val="28"/>
        </w:rPr>
      </w:pPr>
      <w:r>
        <w:rPr>
          <w:rFonts w:eastAsia="方正仿宋_GBK"/>
          <w:color w:val="000000"/>
          <w:sz w:val="28"/>
        </w:rPr>
        <w:t>霸州市胜芳镇新华小学上年末固定资产金额为</w:t>
      </w:r>
      <w:r>
        <w:rPr>
          <w:rFonts w:hint="eastAsia" w:eastAsia="方正仿宋_GBK"/>
          <w:color w:val="000000"/>
          <w:sz w:val="28"/>
        </w:rPr>
        <w:t>58.36</w:t>
      </w:r>
      <w:r>
        <w:rPr>
          <w:rFonts w:eastAsia="方正仿宋_GBK"/>
          <w:color w:val="000000"/>
          <w:sz w:val="28"/>
        </w:rPr>
        <w:t>万元（详见下表）。本年度拟购置固定资产总额为0.75万元，已按要求列入政府采购预算，详见政府采购预算表。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
        <w:gridCol w:w="5090"/>
        <w:gridCol w:w="2062"/>
        <w:gridCol w:w="1502"/>
        <w:gridCol w:w="4193"/>
        <w:gridCol w:w="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1" w:type="dxa"/>
          <w:trHeight w:val="422" w:hRule="atLeast"/>
          <w:tblHeader/>
          <w:jc w:val="center"/>
        </w:trPr>
        <w:tc>
          <w:tcPr>
            <w:tcW w:w="7402" w:type="dxa"/>
            <w:gridSpan w:val="3"/>
            <w:tcBorders>
              <w:top w:val="single" w:color="FFFFFF" w:sz="6" w:space="0"/>
              <w:left w:val="single" w:color="FFFFFF" w:sz="6" w:space="0"/>
              <w:bottom w:val="single" w:color="FFFFFF" w:sz="6" w:space="0"/>
              <w:right w:val="single" w:color="FFFFFF" w:sz="6" w:space="0"/>
            </w:tcBorders>
            <w:vAlign w:val="center"/>
          </w:tcPr>
          <w:p>
            <w:pPr>
              <w:pStyle w:val="19"/>
            </w:pPr>
            <w:r>
              <w:t>501590霸州市胜芳镇新华小学</w:t>
            </w:r>
          </w:p>
        </w:tc>
        <w:tc>
          <w:tcPr>
            <w:tcW w:w="5695" w:type="dxa"/>
            <w:gridSpan w:val="2"/>
            <w:tcBorders>
              <w:top w:val="single" w:color="FFFFFF" w:sz="6" w:space="0"/>
              <w:left w:val="single" w:color="FFFFFF" w:sz="6" w:space="0"/>
              <w:bottom w:val="single" w:color="FFFFFF" w:sz="6" w:space="0"/>
              <w:right w:val="single" w:color="FFFFFF" w:sz="6" w:space="0"/>
            </w:tcBorders>
            <w:vAlign w:val="center"/>
          </w:tcPr>
          <w:p>
            <w:pPr>
              <w:pStyle w:val="1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1" w:type="dxa"/>
          <w:trHeight w:val="845" w:hRule="atLeast"/>
          <w:tblHeader/>
          <w:jc w:val="center"/>
        </w:trPr>
        <w:tc>
          <w:tcPr>
            <w:tcW w:w="7402" w:type="dxa"/>
            <w:gridSpan w:val="3"/>
            <w:tcBorders>
              <w:top w:val="single" w:color="FFFFFF" w:sz="6" w:space="0"/>
              <w:left w:val="single" w:color="FFFFFF" w:sz="6" w:space="0"/>
              <w:right w:val="single" w:color="FFFFFF" w:sz="6" w:space="0"/>
            </w:tcBorders>
            <w:vAlign w:val="center"/>
          </w:tcPr>
          <w:p>
            <w:pPr>
              <w:pStyle w:val="19"/>
              <w:rPr>
                <w:rFonts w:eastAsiaTheme="minorEastAsia"/>
                <w:lang w:eastAsia="zh-CN"/>
              </w:rPr>
            </w:pPr>
          </w:p>
          <w:p>
            <w:pPr>
              <w:pStyle w:val="19"/>
              <w:rPr>
                <w:rFonts w:eastAsiaTheme="minorEastAsia"/>
                <w:lang w:eastAsia="zh-CN"/>
              </w:rPr>
            </w:pPr>
          </w:p>
        </w:tc>
        <w:tc>
          <w:tcPr>
            <w:tcW w:w="5695" w:type="dxa"/>
            <w:gridSpan w:val="2"/>
            <w:tcBorders>
              <w:top w:val="single" w:color="FFFFFF" w:sz="6" w:space="0"/>
              <w:left w:val="single" w:color="FFFFFF" w:sz="6" w:space="0"/>
              <w:right w:val="single" w:color="FFFFFF" w:sz="6" w:space="0"/>
            </w:tcBorders>
            <w:vAlign w:val="center"/>
          </w:tcPr>
          <w:p>
            <w:pPr>
              <w:pStyle w:val="1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481" w:hRule="atLeast"/>
        </w:trPr>
        <w:tc>
          <w:tcPr>
            <w:tcW w:w="50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6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9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546" w:hRule="atLeast"/>
        </w:trPr>
        <w:tc>
          <w:tcPr>
            <w:tcW w:w="50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954"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rPr>
              <w:t>58.36</w:t>
            </w:r>
          </w:p>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581" w:hRule="atLeast"/>
        </w:trPr>
        <w:tc>
          <w:tcPr>
            <w:tcW w:w="50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9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546" w:hRule="atLeast"/>
        </w:trPr>
        <w:tc>
          <w:tcPr>
            <w:tcW w:w="50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9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569" w:hRule="atLeast"/>
        </w:trPr>
        <w:tc>
          <w:tcPr>
            <w:tcW w:w="50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9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549" w:hRule="atLeast"/>
        </w:trPr>
        <w:tc>
          <w:tcPr>
            <w:tcW w:w="5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9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50" w:type="dxa"/>
          <w:trHeight w:val="649" w:hRule="atLeast"/>
        </w:trPr>
        <w:tc>
          <w:tcPr>
            <w:tcW w:w="50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6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144</w:t>
            </w:r>
          </w:p>
        </w:tc>
        <w:tc>
          <w:tcPr>
            <w:tcW w:w="4954"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rPr>
              <w:t>58.36</w:t>
            </w:r>
          </w:p>
          <w:p>
            <w:pPr>
              <w:widowControl/>
              <w:jc w:val="center"/>
              <w:rPr>
                <w:rFonts w:ascii="宋体" w:hAnsi="宋体" w:eastAsia="宋体" w:cs="宋体"/>
                <w:kern w:val="0"/>
                <w:sz w:val="22"/>
              </w:rPr>
            </w:pP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6940D9"/>
    <w:rsid w:val="00007E05"/>
    <w:rsid w:val="000574E2"/>
    <w:rsid w:val="00105148"/>
    <w:rsid w:val="001644BF"/>
    <w:rsid w:val="00186EA8"/>
    <w:rsid w:val="00477104"/>
    <w:rsid w:val="004E53FB"/>
    <w:rsid w:val="005279B2"/>
    <w:rsid w:val="005A79AE"/>
    <w:rsid w:val="0066054D"/>
    <w:rsid w:val="006940D9"/>
    <w:rsid w:val="007434D2"/>
    <w:rsid w:val="0076162F"/>
    <w:rsid w:val="007D1AA3"/>
    <w:rsid w:val="008C0F20"/>
    <w:rsid w:val="008C2651"/>
    <w:rsid w:val="008F658D"/>
    <w:rsid w:val="00917530"/>
    <w:rsid w:val="00A632BB"/>
    <w:rsid w:val="00AE639B"/>
    <w:rsid w:val="00B02B6E"/>
    <w:rsid w:val="00B365B4"/>
    <w:rsid w:val="00B8006A"/>
    <w:rsid w:val="00BA0806"/>
    <w:rsid w:val="00BB0EC1"/>
    <w:rsid w:val="00BD49C9"/>
    <w:rsid w:val="00D30A61"/>
    <w:rsid w:val="00DA3260"/>
    <w:rsid w:val="00F41F23"/>
    <w:rsid w:val="3E0A2E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40"/>
    <w:unhideWhenUsed/>
    <w:uiPriority w:val="99"/>
    <w:pPr>
      <w:tabs>
        <w:tab w:val="center" w:pos="4153"/>
        <w:tab w:val="right" w:pos="8306"/>
      </w:tabs>
      <w:snapToGrid w:val="0"/>
      <w:jc w:val="left"/>
    </w:pPr>
    <w:rPr>
      <w:sz w:val="18"/>
      <w:szCs w:val="18"/>
    </w:rPr>
  </w:style>
  <w:style w:type="paragraph" w:styleId="7">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paragraph" w:customStyle="1" w:styleId="17">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8">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7">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5">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7">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39">
    <w:name w:val="页眉 字符"/>
    <w:basedOn w:val="15"/>
    <w:link w:val="7"/>
    <w:uiPriority w:val="99"/>
    <w:rPr>
      <w:sz w:val="18"/>
      <w:szCs w:val="18"/>
    </w:rPr>
  </w:style>
  <w:style w:type="character" w:customStyle="1" w:styleId="40">
    <w:name w:val="页脚 字符"/>
    <w:basedOn w:val="15"/>
    <w:link w:val="6"/>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1271</Words>
  <Characters>7249</Characters>
  <Lines>60</Lines>
  <Paragraphs>17</Paragraphs>
  <TotalTime>0</TotalTime>
  <ScaleCrop>false</ScaleCrop>
  <LinksUpToDate>false</LinksUpToDate>
  <CharactersWithSpaces>8503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2022-03-05T06:47:00Z</dcterms:created>
  <dc:creator>Sky123.Org</dc:creator>
  <cp:lastModifiedBy>徐</cp:lastModifiedBy>
  <dcterms:modified xsi:type="dcterms:W3CDTF">2023-08-14T11:24:54Z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2CC76E56CB684F559E25B419CF068DE5_12</vt:lpwstr>
  </property>
</Properties>
</file>